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36" w:lineRule="auto"/>
        <w:ind w:left="0" w:firstLine="0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color w:val="000000"/>
          <w:sz w:val="36"/>
          <w:szCs w:val="36"/>
          <w:rtl w:val="0"/>
        </w:rPr>
        <w:t xml:space="preserve">2303 Bermuda Shores Dr </w:t>
      </w:r>
      <w:r w:rsidDel="00000000" w:rsidR="00000000" w:rsidRPr="00000000">
        <w:rPr>
          <w:rFonts w:ascii="Nunito" w:cs="Nunito" w:eastAsia="Nunito" w:hAnsi="Nunito"/>
          <w:color w:val="000000"/>
          <w:sz w:val="52"/>
          <w:szCs w:val="52"/>
          <w:rtl w:val="0"/>
        </w:rPr>
        <w:t xml:space="preserve">|</w:t>
      </w:r>
      <w:r w:rsidDel="00000000" w:rsidR="00000000" w:rsidRPr="00000000">
        <w:rPr>
          <w:rFonts w:ascii="Nunito" w:cs="Nunito" w:eastAsia="Nunito" w:hAnsi="Nunito"/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color w:val="000000"/>
          <w:sz w:val="36"/>
          <w:szCs w:val="36"/>
          <w:rtl w:val="0"/>
        </w:rPr>
        <w:t xml:space="preserve">Missouri City TX 77459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36" w:lineRule="auto"/>
        <w:ind w:left="0" w:firstLine="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Original Owner | Built 2006 </w:t>
        <w:br w:type="textWrapping"/>
        <w:t xml:space="preserve">Community: Private enclave of 38 homes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36" w:lineRule="auto"/>
        <w:ind w:left="0" w:firstLine="0"/>
        <w:rPr>
          <w:rFonts w:ascii="Nunito" w:cs="Nunito" w:eastAsia="Nunito" w:hAnsi="Nunito"/>
          <w:i w:val="1"/>
          <w:iCs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color w:val="000000"/>
          <w:sz w:val="24"/>
          <w:szCs w:val="24"/>
          <w:rtl w:val="0"/>
        </w:rPr>
        <w:t xml:space="preserve">Located in a private community of just 38 homes, this thoughtfully upgraded residence offers elevated finishes, flexible living space, and unique features not found in other homes in the subdivision.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bfc3c8" w:space="0" w:sz="6" w:val="single"/>
        </w:pBdr>
        <w:spacing w:after="120" w:before="120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336" w:lineRule="auto"/>
        <w:ind w:left="0" w:firstLine="0"/>
        <w:rPr>
          <w:rFonts w:ascii="Nunito" w:cs="Nunito" w:eastAsia="Nunito" w:hAnsi="Nunito"/>
          <w:b w:val="1"/>
          <w:bCs w:val="1"/>
          <w:sz w:val="28"/>
          <w:szCs w:val="28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8"/>
          <w:szCs w:val="28"/>
          <w:rtl w:val="0"/>
        </w:rPr>
        <w:t xml:space="preserve">Standout Features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336" w:lineRule="auto"/>
        <w:ind w:left="4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10-foot ceilings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336" w:lineRule="auto"/>
        <w:ind w:left="4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Rare added side window in living room (exclusive to this home)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336" w:lineRule="auto"/>
        <w:ind w:left="4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Upgraded Santa Fe Oak LVP flooring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336" w:lineRule="auto"/>
        <w:ind w:left="4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Updated gas fireplace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336" w:lineRule="auto"/>
        <w:ind w:left="4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Flexible space ideal for home office, gym, or game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336" w:lineRule="auto"/>
        <w:ind w:left="4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Spacious laundry room - Washer and Dryer included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bfc3c8" w:space="0" w:sz="6" w:val="single"/>
        </w:pBdr>
        <w:spacing w:after="120" w:before="120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336" w:lineRule="auto"/>
        <w:rPr>
          <w:rFonts w:ascii="Nunito" w:cs="Nunito" w:eastAsia="Nunito" w:hAnsi="Nunito"/>
          <w:b w:val="1"/>
          <w:bCs w:val="1"/>
          <w:sz w:val="28"/>
          <w:szCs w:val="28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8"/>
          <w:szCs w:val="28"/>
          <w:rtl w:val="0"/>
        </w:rPr>
        <w:t xml:space="preserve">Systems &amp; Exterior Improvements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line="336" w:lineRule="auto"/>
        <w:ind w:left="4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2025: New paint and pressure wash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line="336" w:lineRule="auto"/>
        <w:ind w:left="4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2024: New garage door motor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line="336" w:lineRule="auto"/>
        <w:ind w:left="4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HVAC: Trane 3.5 ton (2022)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line="336" w:lineRule="auto"/>
        <w:ind w:left="4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Gas water heater (2021)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line="336" w:lineRule="auto"/>
        <w:ind w:left="4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Motion-detecting exterior lighting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line="336" w:lineRule="auto"/>
        <w:ind w:left="4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Smart Thermostat system (2024)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line="336" w:lineRule="auto"/>
        <w:ind w:left="4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Solar Screens (2022)</w:t>
      </w:r>
    </w:p>
    <w:p w:rsidR="00000000" w:rsidDel="00000000" w:rsidP="00000000" w:rsidRDefault="00000000" w:rsidRPr="00000000" w14:paraId="00000016">
      <w:pPr>
        <w:spacing w:after="120" w:before="120" w:line="336" w:lineRule="auto"/>
        <w:ind w:left="0" w:firstLine="0"/>
        <w:rPr>
          <w:rFonts w:ascii="Nunito" w:cs="Nunito" w:eastAsia="Nunito" w:hAnsi="Nunito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336" w:lineRule="auto"/>
        <w:ind w:left="0" w:firstLine="0"/>
        <w:rPr>
          <w:rFonts w:ascii="Nunito" w:cs="Nunito" w:eastAsia="Nunito" w:hAnsi="Nunito"/>
          <w:b w:val="1"/>
          <w:bCs w:val="1"/>
          <w:sz w:val="28"/>
          <w:szCs w:val="28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8"/>
          <w:szCs w:val="28"/>
          <w:rtl w:val="0"/>
        </w:rPr>
        <w:t xml:space="preserve">Kitchen Upgrades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before="0" w:line="336" w:lineRule="auto"/>
        <w:ind w:left="4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Silestone countertops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before="0" w:line="336" w:lineRule="auto"/>
        <w:ind w:left="4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Upgraded backsplash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before="0" w:line="336" w:lineRule="auto"/>
        <w:ind w:left="4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New faucet and hardware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before="0" w:line="336" w:lineRule="auto"/>
        <w:ind w:left="4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Stainless steel appliances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bfc3c8" w:space="0" w:sz="6" w:val="single"/>
        </w:pBdr>
        <w:spacing w:after="120" w:before="120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336" w:lineRule="auto"/>
        <w:ind w:left="0" w:firstLine="0"/>
        <w:rPr>
          <w:rFonts w:ascii="Nunito" w:cs="Nunito" w:eastAsia="Nunito" w:hAnsi="Nunito"/>
          <w:b w:val="1"/>
          <w:bCs w:val="1"/>
          <w:sz w:val="28"/>
          <w:szCs w:val="28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8"/>
          <w:szCs w:val="28"/>
          <w:rtl w:val="0"/>
        </w:rPr>
        <w:t xml:space="preserve">Primary Bathroom Up</w:t>
      </w:r>
      <w:r w:rsidDel="00000000" w:rsidR="00000000" w:rsidRPr="00000000">
        <w:rPr>
          <w:rFonts w:ascii="Nunito" w:cs="Nunito" w:eastAsia="Nunito" w:hAnsi="Nunito"/>
          <w:b w:val="1"/>
          <w:bCs w:val="1"/>
          <w:sz w:val="28"/>
          <w:szCs w:val="28"/>
          <w:rtl w:val="0"/>
        </w:rPr>
        <w:t xml:space="preserve">dates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before="0" w:line="336" w:lineRule="auto"/>
        <w:ind w:left="4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Walk-in Closet with built-out shelving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before="0" w:line="336" w:lineRule="auto"/>
        <w:ind w:left="4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 Improvements: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spacing w:after="0" w:before="0" w:line="336" w:lineRule="auto"/>
        <w:ind w:left="8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Quartz countertops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spacing w:after="0" w:before="0" w:line="336" w:lineRule="auto"/>
        <w:ind w:left="800" w:hanging="360"/>
        <w:rPr>
          <w:rFonts w:ascii="Nunito" w:cs="Nunito" w:eastAsia="Nunito" w:hAnsi="Nunito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Double Vessel Sinks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spacing w:after="0" w:before="0" w:line="336" w:lineRule="auto"/>
        <w:ind w:left="8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Spa Shower with seat, niche and waterfall shower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spacing w:after="0" w:before="0" w:line="336" w:lineRule="auto"/>
        <w:ind w:left="8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New mirrors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spacing w:after="0" w:before="0" w:line="336" w:lineRule="auto"/>
        <w:ind w:left="8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Updated lighting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spacing w:after="0" w:before="0" w:line="336" w:lineRule="auto"/>
        <w:ind w:left="8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Waterfall faucets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spacing w:after="0" w:before="0" w:line="336" w:lineRule="auto"/>
        <w:ind w:left="8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Porcelain tile throughout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bottom w:color="bfc3c8" w:space="0" w:sz="6" w:val="single"/>
        </w:pBdr>
        <w:spacing w:after="120" w:before="120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336" w:lineRule="auto"/>
        <w:ind w:left="0" w:firstLine="0"/>
        <w:rPr>
          <w:rFonts w:ascii="Nunito" w:cs="Nunito" w:eastAsia="Nunito" w:hAnsi="Nunito"/>
          <w:b w:val="1"/>
          <w:bCs w:val="1"/>
          <w:sz w:val="28"/>
          <w:szCs w:val="28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8"/>
          <w:szCs w:val="28"/>
          <w:rtl w:val="0"/>
        </w:rPr>
        <w:t xml:space="preserve">Powder &amp; Secondary Bath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before="0" w:line="336" w:lineRule="auto"/>
        <w:ind w:left="4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Vessel sink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 (Secondary Bath)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before="0" w:line="336" w:lineRule="auto"/>
        <w:ind w:left="4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Waterfall faucets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before="0" w:line="336" w:lineRule="auto"/>
        <w:ind w:left="4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Updated mirror, hardware and light fixtures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before="0" w:line="336" w:lineRule="auto"/>
        <w:ind w:left="4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Comfort-height, soft-close toilet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before="0" w:line="336" w:lineRule="auto"/>
        <w:ind w:left="40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Travertine flooring in powder bath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336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1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2224088</wp:posOffset>
          </wp:positionH>
          <wp:positionV relativeFrom="paragraph">
            <wp:posOffset>-47623</wp:posOffset>
          </wp:positionV>
          <wp:extent cx="1495425" cy="737956"/>
          <wp:effectExtent b="0" l="0" r="0" t="0"/>
          <wp:wrapNone/>
          <wp:docPr descr="c36fbde72035076e1ec1581a939b6551.png" id="2" name="image1.png"/>
          <a:graphic>
            <a:graphicData uri="http://schemas.openxmlformats.org/drawingml/2006/picture">
              <pic:pic>
                <pic:nvPicPr>
                  <pic:cNvPr descr="c36fbde72035076e1ec1581a939b6551.png" id="0" name="image1.png"/>
                  <pic:cNvPicPr preferRelativeResize="0"/>
                </pic:nvPicPr>
                <pic:blipFill>
                  <a:blip r:embed="rId1"/>
                  <a:srcRect b="60933" l="42638" r="17777" t="0"/>
                  <a:stretch>
                    <a:fillRect/>
                  </a:stretch>
                </pic:blipFill>
                <pic:spPr>
                  <a:xfrm>
                    <a:off x="0" y="0"/>
                    <a:ext cx="1495425" cy="73795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zzXHx35aZapzZGs6sBfiLMSgnA==">CgMxLjA4AHIhMUVmcWJXTUYtX1YtRHRZR3JxNG1KblZ6SlFXSkhST25N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2026-03-03T16:30:01Z</dcterms:created>
  <dc:creator>Apache POI</dc:creator>
</cp:coreProperties>
</file>